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B8" w:rsidRPr="00EC39E6" w:rsidRDefault="009B7408" w:rsidP="009B7408">
      <w:pPr>
        <w:jc w:val="center"/>
        <w:rPr>
          <w:b/>
          <w:sz w:val="28"/>
        </w:rPr>
      </w:pPr>
      <w:bookmarkStart w:id="0" w:name="_GoBack"/>
      <w:bookmarkEnd w:id="0"/>
      <w:r w:rsidRPr="00EC39E6">
        <w:rPr>
          <w:b/>
          <w:sz w:val="28"/>
        </w:rPr>
        <w:t>DARS Pre-Employment Transition Services (Pre-ETS) Update for ESOSC</w:t>
      </w:r>
    </w:p>
    <w:p w:rsidR="009B7408" w:rsidRPr="00464C33" w:rsidRDefault="00DC1984" w:rsidP="009B7408">
      <w:pPr>
        <w:jc w:val="center"/>
        <w:rPr>
          <w:i/>
        </w:rPr>
      </w:pPr>
      <w:r w:rsidRPr="00464C33">
        <w:rPr>
          <w:i/>
        </w:rPr>
        <w:t>10/11/</w:t>
      </w:r>
      <w:r w:rsidR="009B7408" w:rsidRPr="00464C33">
        <w:rPr>
          <w:i/>
        </w:rPr>
        <w:t>2022</w:t>
      </w:r>
    </w:p>
    <w:p w:rsidR="009B7408" w:rsidRPr="00EC39E6" w:rsidRDefault="00EC39E6" w:rsidP="009B7408">
      <w:r>
        <w:t xml:space="preserve">This update on Pre-ETS is primarily focused on Summer Pre-ETS activity with vendors. The following authorization data </w:t>
      </w:r>
      <w:r w:rsidR="00726E67">
        <w:t>(</w:t>
      </w:r>
      <w:r w:rsidR="00726E67" w:rsidRPr="00726E67">
        <w:rPr>
          <w:i/>
        </w:rPr>
        <w:t>See Table:</w:t>
      </w:r>
      <w:r w:rsidR="00726E67">
        <w:t xml:space="preserve"> </w:t>
      </w:r>
      <w:r w:rsidR="00726E67" w:rsidRPr="00726E67">
        <w:rPr>
          <w:i/>
        </w:rPr>
        <w:t>Summer 2022 Pre-ETS Expenditures</w:t>
      </w:r>
      <w:r w:rsidR="00726E67">
        <w:t xml:space="preserve">) </w:t>
      </w:r>
      <w:r>
        <w:t xml:space="preserve">is reflective of </w:t>
      </w:r>
      <w:r>
        <w:rPr>
          <w:u w:val="single"/>
        </w:rPr>
        <w:t>all</w:t>
      </w:r>
      <w:r>
        <w:t xml:space="preserve"> Pre-ETS activities </w:t>
      </w:r>
      <w:r w:rsidR="00464C33">
        <w:t>supported by</w:t>
      </w:r>
      <w:r>
        <w:t xml:space="preserve"> vendors between 5/01-08/31/2022 (includes Job Exploration Counseling, Workplace Readiness Training, Work-Based Learning Experiences, </w:t>
      </w:r>
      <w:r w:rsidR="00464C33">
        <w:t>Instruction in Self-Advocacy, and Counseling on Postsecondary Education &amp; Training Opportunities)</w:t>
      </w:r>
      <w:r>
        <w:t xml:space="preserve">. </w:t>
      </w:r>
    </w:p>
    <w:p w:rsidR="009B7408" w:rsidRDefault="009B7408" w:rsidP="009B7408">
      <w:pPr>
        <w:jc w:val="center"/>
        <w:rPr>
          <w:b/>
        </w:rPr>
      </w:pPr>
      <w:r>
        <w:rPr>
          <w:b/>
        </w:rPr>
        <w:t>Summer 2022 Pre-ETS Expenditures</w:t>
      </w:r>
    </w:p>
    <w:tbl>
      <w:tblPr>
        <w:tblStyle w:val="GridTable3"/>
        <w:tblW w:w="4951" w:type="pct"/>
        <w:tblLook w:val="0600" w:firstRow="0" w:lastRow="0" w:firstColumn="0" w:lastColumn="0" w:noHBand="1" w:noVBand="1"/>
      </w:tblPr>
      <w:tblGrid>
        <w:gridCol w:w="1993"/>
        <w:gridCol w:w="3289"/>
        <w:gridCol w:w="2571"/>
        <w:gridCol w:w="2831"/>
      </w:tblGrid>
      <w:tr w:rsidR="009B7408" w:rsidRPr="009B7408" w:rsidTr="009B7408">
        <w:trPr>
          <w:trHeight w:val="263"/>
        </w:trPr>
        <w:tc>
          <w:tcPr>
            <w:tcW w:w="933" w:type="pct"/>
            <w:hideMark/>
          </w:tcPr>
          <w:p w:rsidR="009B7408" w:rsidRPr="009B7408" w:rsidRDefault="00EC39E6" w:rsidP="009B7408">
            <w:pPr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48"/>
              </w:rPr>
              <w:t>DRS District</w:t>
            </w:r>
          </w:p>
        </w:tc>
        <w:tc>
          <w:tcPr>
            <w:tcW w:w="1539" w:type="pct"/>
            <w:hideMark/>
          </w:tcPr>
          <w:p w:rsidR="009B7408" w:rsidRPr="009B7408" w:rsidRDefault="009B7408" w:rsidP="009B7408">
            <w:pPr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9B7408">
              <w:rPr>
                <w:rFonts w:eastAsia="Times New Roman" w:hAnsi="Calibri" w:cs="Calibri"/>
                <w:color w:val="000000" w:themeColor="dark1"/>
                <w:kern w:val="24"/>
                <w:sz w:val="36"/>
                <w:szCs w:val="48"/>
              </w:rPr>
              <w:t>Authorizations</w:t>
            </w:r>
          </w:p>
        </w:tc>
        <w:tc>
          <w:tcPr>
            <w:tcW w:w="1203" w:type="pct"/>
            <w:hideMark/>
          </w:tcPr>
          <w:p w:rsidR="009B7408" w:rsidRPr="009B7408" w:rsidRDefault="00EC39E6" w:rsidP="009B7408">
            <w:pPr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48"/>
              </w:rPr>
              <w:t>Expenditures</w:t>
            </w:r>
          </w:p>
        </w:tc>
        <w:tc>
          <w:tcPr>
            <w:tcW w:w="1325" w:type="pct"/>
            <w:hideMark/>
          </w:tcPr>
          <w:p w:rsidR="009B7408" w:rsidRPr="009B7408" w:rsidRDefault="009B7408" w:rsidP="009B7408">
            <w:pPr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9B7408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48"/>
              </w:rPr>
              <w:t># of Students</w:t>
            </w:r>
          </w:p>
        </w:tc>
      </w:tr>
      <w:tr w:rsidR="009B7408" w:rsidRPr="009B7408" w:rsidTr="009B7408">
        <w:trPr>
          <w:trHeight w:val="263"/>
        </w:trPr>
        <w:tc>
          <w:tcPr>
            <w:tcW w:w="933" w:type="pct"/>
            <w:hideMark/>
          </w:tcPr>
          <w:p w:rsidR="009B7408" w:rsidRPr="009B7408" w:rsidRDefault="009B7408" w:rsidP="009B7408">
            <w:pPr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9B7408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4"/>
                <w:szCs w:val="36"/>
              </w:rPr>
              <w:t>Capitol</w:t>
            </w:r>
          </w:p>
        </w:tc>
        <w:tc>
          <w:tcPr>
            <w:tcW w:w="1539" w:type="pct"/>
            <w:hideMark/>
          </w:tcPr>
          <w:p w:rsidR="009B7408" w:rsidRPr="009B7408" w:rsidRDefault="009B7408" w:rsidP="009B7408">
            <w:pPr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9B7408">
              <w:rPr>
                <w:rFonts w:ascii="Calibri" w:eastAsia="Times New Roman" w:hAnsi="Calibri" w:cs="Calibri"/>
                <w:color w:val="000000"/>
                <w:kern w:val="24"/>
                <w:sz w:val="24"/>
                <w:szCs w:val="36"/>
              </w:rPr>
              <w:t>227</w:t>
            </w:r>
          </w:p>
        </w:tc>
        <w:tc>
          <w:tcPr>
            <w:tcW w:w="1203" w:type="pct"/>
            <w:hideMark/>
          </w:tcPr>
          <w:p w:rsidR="009B7408" w:rsidRPr="009B7408" w:rsidRDefault="009B7408" w:rsidP="009B7408">
            <w:pPr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9B7408">
              <w:rPr>
                <w:rFonts w:ascii="Calibri" w:eastAsia="Times New Roman" w:hAnsi="Calibri" w:cs="Calibri"/>
                <w:color w:val="000000"/>
                <w:kern w:val="24"/>
                <w:sz w:val="24"/>
                <w:szCs w:val="36"/>
              </w:rPr>
              <w:t>$141,000</w:t>
            </w:r>
          </w:p>
        </w:tc>
        <w:tc>
          <w:tcPr>
            <w:tcW w:w="1325" w:type="pct"/>
            <w:hideMark/>
          </w:tcPr>
          <w:p w:rsidR="009B7408" w:rsidRPr="009B7408" w:rsidRDefault="009B7408" w:rsidP="009B7408">
            <w:pPr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9B7408">
              <w:rPr>
                <w:rFonts w:ascii="Calibri" w:eastAsiaTheme="minorEastAsia" w:hAnsi="Calibri"/>
                <w:color w:val="000000" w:themeColor="text1"/>
                <w:kern w:val="24"/>
                <w:sz w:val="24"/>
                <w:szCs w:val="36"/>
              </w:rPr>
              <w:t>106</w:t>
            </w:r>
          </w:p>
        </w:tc>
      </w:tr>
      <w:tr w:rsidR="009B7408" w:rsidRPr="009B7408" w:rsidTr="009B7408">
        <w:trPr>
          <w:trHeight w:val="477"/>
        </w:trPr>
        <w:tc>
          <w:tcPr>
            <w:tcW w:w="933" w:type="pct"/>
            <w:hideMark/>
          </w:tcPr>
          <w:p w:rsidR="009B7408" w:rsidRPr="009B7408" w:rsidRDefault="009B7408" w:rsidP="009B7408">
            <w:pPr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9B7408">
              <w:rPr>
                <w:rFonts w:eastAsia="Times New Roman" w:hAnsi="Calibri" w:cs="Calibri"/>
                <w:b/>
                <w:bCs/>
                <w:color w:val="000000" w:themeColor="dark1"/>
                <w:kern w:val="24"/>
                <w:sz w:val="24"/>
                <w:szCs w:val="36"/>
              </w:rPr>
              <w:t>Skyline</w:t>
            </w:r>
          </w:p>
        </w:tc>
        <w:tc>
          <w:tcPr>
            <w:tcW w:w="1539" w:type="pct"/>
            <w:hideMark/>
          </w:tcPr>
          <w:p w:rsidR="009B7408" w:rsidRPr="009B7408" w:rsidRDefault="009B7408" w:rsidP="009B7408">
            <w:pPr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9B7408">
              <w:rPr>
                <w:rFonts w:ascii="Calibri" w:eastAsia="Times New Roman" w:hAnsi="Calibri" w:cs="Calibri"/>
                <w:color w:val="000000"/>
                <w:kern w:val="24"/>
                <w:sz w:val="24"/>
                <w:szCs w:val="36"/>
              </w:rPr>
              <w:t>301</w:t>
            </w:r>
          </w:p>
        </w:tc>
        <w:tc>
          <w:tcPr>
            <w:tcW w:w="1203" w:type="pct"/>
            <w:hideMark/>
          </w:tcPr>
          <w:p w:rsidR="009B7408" w:rsidRPr="009B7408" w:rsidRDefault="009B7408" w:rsidP="009B7408">
            <w:pPr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9B7408">
              <w:rPr>
                <w:rFonts w:ascii="Calibri" w:eastAsia="Times New Roman" w:hAnsi="Calibri" w:cs="Calibri"/>
                <w:color w:val="000000"/>
                <w:kern w:val="24"/>
                <w:sz w:val="24"/>
                <w:szCs w:val="36"/>
              </w:rPr>
              <w:t>$166,000</w:t>
            </w:r>
          </w:p>
        </w:tc>
        <w:tc>
          <w:tcPr>
            <w:tcW w:w="1325" w:type="pct"/>
            <w:hideMark/>
          </w:tcPr>
          <w:p w:rsidR="009B7408" w:rsidRPr="009B7408" w:rsidRDefault="009B7408" w:rsidP="009B7408">
            <w:pPr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9B7408">
              <w:rPr>
                <w:rFonts w:ascii="Calibri" w:eastAsiaTheme="minorEastAsia" w:hAnsi="Calibri"/>
                <w:color w:val="000000" w:themeColor="text1"/>
                <w:kern w:val="24"/>
                <w:sz w:val="24"/>
                <w:szCs w:val="36"/>
              </w:rPr>
              <w:t>94</w:t>
            </w:r>
          </w:p>
        </w:tc>
      </w:tr>
      <w:tr w:rsidR="009B7408" w:rsidRPr="009B7408" w:rsidTr="009B7408">
        <w:trPr>
          <w:trHeight w:val="225"/>
        </w:trPr>
        <w:tc>
          <w:tcPr>
            <w:tcW w:w="933" w:type="pct"/>
            <w:hideMark/>
          </w:tcPr>
          <w:p w:rsidR="009B7408" w:rsidRPr="009B7408" w:rsidRDefault="009B7408" w:rsidP="009B7408">
            <w:pPr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9B7408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4"/>
                <w:szCs w:val="36"/>
              </w:rPr>
              <w:t>New River</w:t>
            </w:r>
          </w:p>
        </w:tc>
        <w:tc>
          <w:tcPr>
            <w:tcW w:w="1539" w:type="pct"/>
            <w:hideMark/>
          </w:tcPr>
          <w:p w:rsidR="009B7408" w:rsidRPr="009B7408" w:rsidRDefault="009B7408" w:rsidP="009B7408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9B7408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36"/>
              </w:rPr>
              <w:t>460</w:t>
            </w:r>
          </w:p>
        </w:tc>
        <w:tc>
          <w:tcPr>
            <w:tcW w:w="1203" w:type="pct"/>
            <w:hideMark/>
          </w:tcPr>
          <w:p w:rsidR="009B7408" w:rsidRPr="009B7408" w:rsidRDefault="009B7408" w:rsidP="009B7408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9B7408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36"/>
              </w:rPr>
              <w:t>$439,000</w:t>
            </w:r>
          </w:p>
        </w:tc>
        <w:tc>
          <w:tcPr>
            <w:tcW w:w="1325" w:type="pct"/>
            <w:hideMark/>
          </w:tcPr>
          <w:p w:rsidR="009B7408" w:rsidRPr="009B7408" w:rsidRDefault="009B7408" w:rsidP="009B7408">
            <w:pPr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9B7408">
              <w:rPr>
                <w:rFonts w:ascii="Calibri" w:eastAsiaTheme="minorEastAsia" w:hAnsi="Calibri"/>
                <w:color w:val="000000" w:themeColor="text1"/>
                <w:kern w:val="24"/>
                <w:sz w:val="24"/>
                <w:szCs w:val="36"/>
              </w:rPr>
              <w:t>159</w:t>
            </w:r>
          </w:p>
        </w:tc>
      </w:tr>
      <w:tr w:rsidR="009B7408" w:rsidRPr="009B7408" w:rsidTr="009B7408">
        <w:trPr>
          <w:trHeight w:val="263"/>
        </w:trPr>
        <w:tc>
          <w:tcPr>
            <w:tcW w:w="933" w:type="pct"/>
            <w:hideMark/>
          </w:tcPr>
          <w:p w:rsidR="009B7408" w:rsidRPr="009B7408" w:rsidRDefault="009B7408" w:rsidP="009B7408">
            <w:pPr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9B7408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4"/>
                <w:szCs w:val="36"/>
              </w:rPr>
              <w:t>Southwest</w:t>
            </w:r>
          </w:p>
        </w:tc>
        <w:tc>
          <w:tcPr>
            <w:tcW w:w="1539" w:type="pct"/>
            <w:hideMark/>
          </w:tcPr>
          <w:p w:rsidR="009B7408" w:rsidRPr="009B7408" w:rsidRDefault="009B7408" w:rsidP="009B7408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9B7408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36"/>
              </w:rPr>
              <w:t>227</w:t>
            </w:r>
          </w:p>
        </w:tc>
        <w:tc>
          <w:tcPr>
            <w:tcW w:w="1203" w:type="pct"/>
            <w:hideMark/>
          </w:tcPr>
          <w:p w:rsidR="009B7408" w:rsidRPr="009B7408" w:rsidRDefault="009B7408" w:rsidP="009B7408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9B7408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36"/>
              </w:rPr>
              <w:t>$147,000</w:t>
            </w:r>
          </w:p>
        </w:tc>
        <w:tc>
          <w:tcPr>
            <w:tcW w:w="1325" w:type="pct"/>
            <w:hideMark/>
          </w:tcPr>
          <w:p w:rsidR="009B7408" w:rsidRPr="009B7408" w:rsidRDefault="009B7408" w:rsidP="009B7408">
            <w:pPr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9B7408">
              <w:rPr>
                <w:rFonts w:ascii="Calibri" w:eastAsiaTheme="minorEastAsia" w:hAnsi="Calibri"/>
                <w:color w:val="000000" w:themeColor="text1"/>
                <w:kern w:val="24"/>
                <w:sz w:val="24"/>
                <w:szCs w:val="36"/>
              </w:rPr>
              <w:t>67</w:t>
            </w:r>
          </w:p>
        </w:tc>
      </w:tr>
      <w:tr w:rsidR="009B7408" w:rsidRPr="009B7408" w:rsidTr="009B7408">
        <w:trPr>
          <w:trHeight w:val="397"/>
        </w:trPr>
        <w:tc>
          <w:tcPr>
            <w:tcW w:w="933" w:type="pct"/>
            <w:hideMark/>
          </w:tcPr>
          <w:p w:rsidR="009B7408" w:rsidRPr="009B7408" w:rsidRDefault="009B7408" w:rsidP="009B7408">
            <w:pPr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9B7408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4"/>
                <w:szCs w:val="36"/>
              </w:rPr>
              <w:t>Hampton Roads</w:t>
            </w:r>
          </w:p>
        </w:tc>
        <w:tc>
          <w:tcPr>
            <w:tcW w:w="1539" w:type="pct"/>
            <w:hideMark/>
          </w:tcPr>
          <w:p w:rsidR="009B7408" w:rsidRPr="009B7408" w:rsidRDefault="009B7408" w:rsidP="009B7408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9B7408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36"/>
              </w:rPr>
              <w:t>346</w:t>
            </w:r>
          </w:p>
        </w:tc>
        <w:tc>
          <w:tcPr>
            <w:tcW w:w="1203" w:type="pct"/>
            <w:hideMark/>
          </w:tcPr>
          <w:p w:rsidR="009B7408" w:rsidRPr="009B7408" w:rsidRDefault="009B7408" w:rsidP="009B7408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9B7408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36"/>
              </w:rPr>
              <w:t>$193,000</w:t>
            </w:r>
          </w:p>
        </w:tc>
        <w:tc>
          <w:tcPr>
            <w:tcW w:w="1325" w:type="pct"/>
            <w:hideMark/>
          </w:tcPr>
          <w:p w:rsidR="009B7408" w:rsidRPr="009B7408" w:rsidRDefault="009B7408" w:rsidP="009B7408">
            <w:pPr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9B7408">
              <w:rPr>
                <w:rFonts w:ascii="Calibri" w:eastAsiaTheme="minorEastAsia" w:hAnsi="Calibri"/>
                <w:color w:val="000000" w:themeColor="text1"/>
                <w:kern w:val="24"/>
                <w:sz w:val="24"/>
                <w:szCs w:val="36"/>
              </w:rPr>
              <w:t>189</w:t>
            </w:r>
          </w:p>
        </w:tc>
      </w:tr>
      <w:tr w:rsidR="009B7408" w:rsidRPr="009B7408" w:rsidTr="009B7408">
        <w:trPr>
          <w:trHeight w:val="263"/>
        </w:trPr>
        <w:tc>
          <w:tcPr>
            <w:tcW w:w="933" w:type="pct"/>
            <w:hideMark/>
          </w:tcPr>
          <w:p w:rsidR="009B7408" w:rsidRPr="009B7408" w:rsidRDefault="009B7408" w:rsidP="009B7408">
            <w:pPr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9B7408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4"/>
                <w:szCs w:val="36"/>
              </w:rPr>
              <w:t>Northern</w:t>
            </w:r>
          </w:p>
        </w:tc>
        <w:tc>
          <w:tcPr>
            <w:tcW w:w="1539" w:type="pct"/>
            <w:hideMark/>
          </w:tcPr>
          <w:p w:rsidR="009B7408" w:rsidRPr="009B7408" w:rsidRDefault="009B7408" w:rsidP="009B7408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9B7408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36"/>
              </w:rPr>
              <w:t>613</w:t>
            </w:r>
          </w:p>
        </w:tc>
        <w:tc>
          <w:tcPr>
            <w:tcW w:w="1203" w:type="pct"/>
            <w:hideMark/>
          </w:tcPr>
          <w:p w:rsidR="009B7408" w:rsidRPr="009B7408" w:rsidRDefault="009B7408" w:rsidP="009B7408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9B7408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36"/>
              </w:rPr>
              <w:t>$256,000</w:t>
            </w:r>
          </w:p>
        </w:tc>
        <w:tc>
          <w:tcPr>
            <w:tcW w:w="1325" w:type="pct"/>
            <w:hideMark/>
          </w:tcPr>
          <w:p w:rsidR="009B7408" w:rsidRPr="009B7408" w:rsidRDefault="009B7408" w:rsidP="009B7408">
            <w:pPr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9B7408">
              <w:rPr>
                <w:rFonts w:ascii="Calibri" w:eastAsiaTheme="minorEastAsia" w:hAnsi="Calibri"/>
                <w:color w:val="000000" w:themeColor="text1"/>
                <w:kern w:val="24"/>
                <w:sz w:val="24"/>
                <w:szCs w:val="36"/>
              </w:rPr>
              <w:t>224</w:t>
            </w:r>
          </w:p>
        </w:tc>
      </w:tr>
      <w:tr w:rsidR="009B7408" w:rsidRPr="009B7408" w:rsidTr="009B7408">
        <w:trPr>
          <w:trHeight w:val="263"/>
        </w:trPr>
        <w:tc>
          <w:tcPr>
            <w:tcW w:w="933" w:type="pct"/>
            <w:hideMark/>
          </w:tcPr>
          <w:p w:rsidR="009B7408" w:rsidRPr="009B7408" w:rsidRDefault="009B7408" w:rsidP="009B7408">
            <w:pPr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9B7408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4"/>
                <w:szCs w:val="36"/>
              </w:rPr>
              <w:t>Total</w:t>
            </w:r>
          </w:p>
        </w:tc>
        <w:tc>
          <w:tcPr>
            <w:tcW w:w="1539" w:type="pct"/>
            <w:hideMark/>
          </w:tcPr>
          <w:p w:rsidR="009B7408" w:rsidRPr="009B7408" w:rsidRDefault="009B7408" w:rsidP="009B7408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9B7408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4"/>
                <w:szCs w:val="36"/>
              </w:rPr>
              <w:t>2274</w:t>
            </w:r>
          </w:p>
        </w:tc>
        <w:tc>
          <w:tcPr>
            <w:tcW w:w="1203" w:type="pct"/>
            <w:hideMark/>
          </w:tcPr>
          <w:p w:rsidR="009B7408" w:rsidRPr="009B7408" w:rsidRDefault="009B7408" w:rsidP="009B7408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9B7408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4"/>
                <w:szCs w:val="36"/>
              </w:rPr>
              <w:t>$1,342,000</w:t>
            </w:r>
          </w:p>
        </w:tc>
        <w:tc>
          <w:tcPr>
            <w:tcW w:w="1325" w:type="pct"/>
            <w:hideMark/>
          </w:tcPr>
          <w:p w:rsidR="009B7408" w:rsidRPr="009B7408" w:rsidRDefault="009B7408" w:rsidP="009B7408">
            <w:pPr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9B740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36"/>
              </w:rPr>
              <w:t>870</w:t>
            </w:r>
          </w:p>
        </w:tc>
      </w:tr>
    </w:tbl>
    <w:p w:rsidR="009B7408" w:rsidRDefault="009B7408" w:rsidP="009B7408">
      <w:pPr>
        <w:rPr>
          <w:b/>
          <w:sz w:val="16"/>
        </w:rPr>
      </w:pPr>
    </w:p>
    <w:p w:rsidR="00D95ED2" w:rsidRDefault="00B25487" w:rsidP="009B7408">
      <w:pPr>
        <w:jc w:val="center"/>
        <w:rPr>
          <w:b/>
          <w:noProof/>
        </w:rPr>
      </w:pPr>
      <w:r>
        <w:rPr>
          <w:b/>
          <w:noProof/>
        </w:rPr>
        <w:t xml:space="preserve">Statewide </w:t>
      </w:r>
      <w:r w:rsidR="00C023C7">
        <w:rPr>
          <w:b/>
          <w:noProof/>
        </w:rPr>
        <w:t>Summer Work Experiences (Student Count) by Vendor</w:t>
      </w:r>
    </w:p>
    <w:p w:rsidR="00C023C7" w:rsidRPr="00C023C7" w:rsidRDefault="00C023C7" w:rsidP="009B7408">
      <w:pPr>
        <w:jc w:val="center"/>
        <w:rPr>
          <w:b/>
        </w:rPr>
      </w:pPr>
      <w:r>
        <w:rPr>
          <w:noProof/>
        </w:rPr>
        <w:drawing>
          <wp:inline distT="0" distB="0" distL="0" distR="0" wp14:anchorId="5B6DF769" wp14:editId="2859C39F">
            <wp:extent cx="6134100" cy="4371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487" w:rsidRDefault="00B25487" w:rsidP="009B7408">
      <w:pPr>
        <w:jc w:val="center"/>
        <w:rPr>
          <w:b/>
        </w:rPr>
      </w:pPr>
    </w:p>
    <w:p w:rsidR="00B25487" w:rsidRDefault="00B25487" w:rsidP="009B7408">
      <w:pPr>
        <w:jc w:val="center"/>
        <w:rPr>
          <w:b/>
        </w:rPr>
      </w:pPr>
    </w:p>
    <w:p w:rsidR="009B7408" w:rsidRDefault="009B7408" w:rsidP="009B7408">
      <w:pPr>
        <w:jc w:val="center"/>
        <w:rPr>
          <w:b/>
        </w:rPr>
      </w:pPr>
      <w:r>
        <w:rPr>
          <w:b/>
        </w:rPr>
        <w:lastRenderedPageBreak/>
        <w:t>Pre-ETS Vendor Needs</w:t>
      </w:r>
    </w:p>
    <w:p w:rsidR="009B7408" w:rsidRDefault="00EC39E6" w:rsidP="009B7408">
      <w:r>
        <w:t>There is a significant need for Pre-ETS vendors who can support both short-term work-based learning experiences (e.g. work site visits/tours, informational interviews, job shadows, short-term job tryouts, etc.) and 3-8 week work experiences supported by skills trainers. Although there was an increase in work experience activity this past summer</w:t>
      </w:r>
      <w:r w:rsidR="0004760A">
        <w:t xml:space="preserve"> (from 350 students to 490)</w:t>
      </w:r>
      <w:r>
        <w:t>, there were still numerous reports of students who were unable to participate in a work experience due to a lack of vendors to support them. In general terms, there are more significant gaps and lack of options in rural regions of Virginia</w:t>
      </w:r>
      <w:r w:rsidR="00B25487">
        <w:t xml:space="preserve"> so I encourage outreach and discussion from ESOs who can potentially serve offices in our Southwest, Skyline, New River, and more rural parts of our other districts</w:t>
      </w:r>
      <w:r>
        <w:t>.</w:t>
      </w:r>
      <w:r w:rsidR="00B25487">
        <w:t xml:space="preserve"> If you have existing relationships and ties to communities (e.g. with local education agencies/schools) where you are not currently receiving Pre-ETS referrals, please contact Martin Kurylowski as this might be a good opportunity to build capacity and expand services in those areas.</w:t>
      </w:r>
      <w:r>
        <w:t xml:space="preserve"> Virginia DARS welcomes the ESOSC’s support to </w:t>
      </w:r>
      <w:r w:rsidR="00464C33">
        <w:t>problem-solve our capacity issues in this critical Pre-ETS service category!</w:t>
      </w:r>
    </w:p>
    <w:p w:rsidR="00464C33" w:rsidRDefault="00464C33" w:rsidP="009B7408"/>
    <w:p w:rsidR="00464C33" w:rsidRDefault="00464C33" w:rsidP="009B7408">
      <w:r>
        <w:t>Thank you,</w:t>
      </w:r>
    </w:p>
    <w:p w:rsidR="00464C33" w:rsidRDefault="00464C33" w:rsidP="00464C33">
      <w:pPr>
        <w:spacing w:after="0" w:line="240" w:lineRule="auto"/>
      </w:pPr>
      <w:r>
        <w:t>Martin Kurylowski</w:t>
      </w:r>
    </w:p>
    <w:p w:rsidR="00464C33" w:rsidRPr="00464C33" w:rsidRDefault="00464C33" w:rsidP="00464C33">
      <w:pPr>
        <w:spacing w:after="0" w:line="240" w:lineRule="auto"/>
        <w:rPr>
          <w:i/>
        </w:rPr>
      </w:pPr>
      <w:r>
        <w:rPr>
          <w:i/>
        </w:rPr>
        <w:t>Transition and Education Services Coordinator, VA DARS</w:t>
      </w:r>
    </w:p>
    <w:sectPr w:rsidR="00464C33" w:rsidRPr="00464C33" w:rsidSect="00EC39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08"/>
    <w:rsid w:val="0004760A"/>
    <w:rsid w:val="0006101E"/>
    <w:rsid w:val="001347B8"/>
    <w:rsid w:val="00464C33"/>
    <w:rsid w:val="00726E67"/>
    <w:rsid w:val="009B7408"/>
    <w:rsid w:val="00B25487"/>
    <w:rsid w:val="00C023C7"/>
    <w:rsid w:val="00D95ED2"/>
    <w:rsid w:val="00DC1984"/>
    <w:rsid w:val="00EC39E6"/>
    <w:rsid w:val="00FA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50DC4-72B6-4311-A4C4-D0C25991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3">
    <w:name w:val="Grid Table 3"/>
    <w:basedOn w:val="TableNormal"/>
    <w:uiPriority w:val="48"/>
    <w:rsid w:val="009B740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47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Kurylowski, Martin (DARS)</dc:creator>
  <cp:keywords/>
  <dc:description/>
  <cp:lastModifiedBy>VITA Program</cp:lastModifiedBy>
  <cp:revision>2</cp:revision>
  <cp:lastPrinted>2022-10-11T14:15:00Z</cp:lastPrinted>
  <dcterms:created xsi:type="dcterms:W3CDTF">2022-10-26T00:16:00Z</dcterms:created>
  <dcterms:modified xsi:type="dcterms:W3CDTF">2022-10-26T00:16:00Z</dcterms:modified>
</cp:coreProperties>
</file>